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047E">
      <w:pPr>
        <w:rPr>
          <w:rFonts w:ascii="黑体" w:hAnsi="黑体" w:eastAsia="黑体" w:cstheme="minorEastAsia"/>
          <w:bCs/>
          <w:sz w:val="32"/>
          <w:szCs w:val="32"/>
        </w:rPr>
      </w:pPr>
      <w:r>
        <w:rPr>
          <w:rFonts w:hint="eastAsia" w:ascii="黑体" w:hAnsi="黑体" w:eastAsia="黑体" w:cstheme="minorEastAsia"/>
          <w:bCs/>
          <w:sz w:val="32"/>
          <w:szCs w:val="32"/>
        </w:rPr>
        <w:t>附件</w:t>
      </w:r>
      <w:r>
        <w:rPr>
          <w:rFonts w:ascii="黑体" w:hAnsi="黑体" w:eastAsia="黑体" w:cstheme="minorEastAsia"/>
          <w:bCs/>
          <w:sz w:val="32"/>
          <w:szCs w:val="32"/>
        </w:rPr>
        <w:t>：</w:t>
      </w:r>
    </w:p>
    <w:p w14:paraId="3FE12353">
      <w:pPr>
        <w:pStyle w:val="4"/>
        <w:spacing w:line="600" w:lineRule="exact"/>
        <w:jc w:val="center"/>
        <w:rPr>
          <w:rFonts w:eastAsia="仿宋" w:cs="Arial"/>
          <w:bCs/>
          <w:sz w:val="32"/>
        </w:rPr>
      </w:pPr>
      <w:r>
        <w:rPr>
          <w:rFonts w:hint="eastAsia" w:ascii="方正小标宋简体" w:hAnsi="仿宋" w:eastAsia="方正小标宋简体" w:cstheme="minorEastAsia"/>
          <w:sz w:val="44"/>
          <w:szCs w:val="44"/>
        </w:rPr>
        <w:t>朗诵大赛</w:t>
      </w:r>
      <w:r>
        <w:rPr>
          <w:rFonts w:hint="eastAsia" w:ascii="方正小标宋简体" w:hAnsi="仿宋" w:eastAsia="方正小标宋简体" w:cstheme="minorEastAsia"/>
          <w:bCs/>
          <w:sz w:val="44"/>
          <w:szCs w:val="44"/>
        </w:rPr>
        <w:t>评分细则</w:t>
      </w:r>
      <w:bookmarkStart w:id="0" w:name="_GoBack"/>
      <w:bookmarkEnd w:id="0"/>
    </w:p>
    <w:p w14:paraId="3B1500EB">
      <w:pPr>
        <w:pStyle w:val="18"/>
        <w:numPr>
          <w:ilvl w:val="0"/>
          <w:numId w:val="1"/>
        </w:numPr>
        <w:tabs>
          <w:tab w:val="left" w:pos="1203"/>
        </w:tabs>
        <w:autoSpaceDE w:val="0"/>
        <w:autoSpaceDN w:val="0"/>
        <w:spacing w:before="0" w:line="560" w:lineRule="exact"/>
        <w:ind w:right="257" w:firstLine="588" w:firstLineChars="200"/>
        <w:rPr>
          <w:rFonts w:cstheme="minorEastAsia"/>
          <w:sz w:val="32"/>
          <w:szCs w:val="32"/>
        </w:rPr>
      </w:pPr>
      <w:r>
        <w:rPr>
          <w:rFonts w:hint="eastAsia" w:cstheme="minorEastAsia"/>
          <w:spacing w:val="-5"/>
          <w:w w:val="95"/>
          <w:sz w:val="32"/>
          <w:szCs w:val="32"/>
          <w:lang w:val="en-US"/>
        </w:rPr>
        <w:t>初赛</w:t>
      </w:r>
      <w:r>
        <w:rPr>
          <w:rFonts w:hint="eastAsia" w:cstheme="minorEastAsia"/>
          <w:spacing w:val="-5"/>
          <w:w w:val="95"/>
          <w:sz w:val="32"/>
          <w:szCs w:val="32"/>
        </w:rPr>
        <w:t>作品选拔：严格按照大赛规定的</w:t>
      </w:r>
      <w:r>
        <w:rPr>
          <w:rFonts w:hint="eastAsia" w:cstheme="minorEastAsia"/>
          <w:b/>
          <w:w w:val="95"/>
          <w:sz w:val="32"/>
          <w:szCs w:val="32"/>
        </w:rPr>
        <w:t>主题内容及作品时长要求（</w:t>
      </w:r>
      <w:r>
        <w:rPr>
          <w:rFonts w:cstheme="minorEastAsia"/>
          <w:b/>
          <w:w w:val="95"/>
          <w:sz w:val="32"/>
          <w:szCs w:val="32"/>
        </w:rPr>
        <w:t>3～5分钟）</w:t>
      </w:r>
      <w:r>
        <w:rPr>
          <w:rFonts w:hint="eastAsia" w:cstheme="minorEastAsia"/>
          <w:spacing w:val="-4"/>
          <w:w w:val="95"/>
          <w:sz w:val="32"/>
          <w:szCs w:val="32"/>
        </w:rPr>
        <w:t>，各参赛馆可自拟标准，评审完成后按本通知名额</w:t>
      </w:r>
      <w:r>
        <w:rPr>
          <w:rFonts w:hint="eastAsia" w:cstheme="minorEastAsia"/>
          <w:spacing w:val="-4"/>
          <w:w w:val="95"/>
          <w:sz w:val="32"/>
          <w:szCs w:val="32"/>
          <w:lang w:val="en-US"/>
        </w:rPr>
        <w:t>于</w:t>
      </w:r>
      <w:r>
        <w:rPr>
          <w:rFonts w:hint="eastAsia" w:cstheme="minorEastAsia"/>
          <w:spacing w:val="-4"/>
          <w:sz w:val="32"/>
          <w:szCs w:val="32"/>
        </w:rPr>
        <w:t>博看朗读系统后台直接点击“推荐”按钮上传参赛作品。</w:t>
      </w:r>
    </w:p>
    <w:p w14:paraId="2FD10213">
      <w:pPr>
        <w:pStyle w:val="18"/>
        <w:numPr>
          <w:ilvl w:val="0"/>
          <w:numId w:val="1"/>
        </w:numPr>
        <w:tabs>
          <w:tab w:val="left" w:pos="1203"/>
        </w:tabs>
        <w:autoSpaceDE w:val="0"/>
        <w:autoSpaceDN w:val="0"/>
        <w:spacing w:before="0" w:line="560" w:lineRule="exact"/>
        <w:ind w:right="257" w:firstLine="612" w:firstLineChars="200"/>
        <w:rPr>
          <w:rFonts w:cstheme="minorEastAsia"/>
          <w:sz w:val="32"/>
          <w:szCs w:val="32"/>
        </w:rPr>
      </w:pPr>
      <w:r>
        <w:rPr>
          <w:rFonts w:hint="eastAsia" w:cstheme="minorEastAsia"/>
          <w:spacing w:val="-7"/>
          <w:sz w:val="32"/>
          <w:szCs w:val="32"/>
        </w:rPr>
        <w:t>复赛：专家评审团按照《复赛评分标准</w:t>
      </w:r>
      <w:r>
        <w:rPr>
          <w:rFonts w:hint="eastAsia" w:cstheme="minorEastAsia"/>
          <w:spacing w:val="-180"/>
          <w:sz w:val="32"/>
          <w:szCs w:val="32"/>
        </w:rPr>
        <w:t>》</w:t>
      </w:r>
      <w:r>
        <w:rPr>
          <w:rFonts w:hint="eastAsia" w:cstheme="minorEastAsia"/>
          <w:sz w:val="32"/>
          <w:szCs w:val="32"/>
        </w:rPr>
        <w:t>（</w:t>
      </w:r>
      <w:r>
        <w:rPr>
          <w:rFonts w:hint="eastAsia" w:cstheme="minorEastAsia"/>
          <w:spacing w:val="-30"/>
          <w:sz w:val="32"/>
          <w:szCs w:val="32"/>
        </w:rPr>
        <w:t>见表</w:t>
      </w:r>
      <w:r>
        <w:rPr>
          <w:rFonts w:cstheme="minorEastAsia"/>
          <w:spacing w:val="-12"/>
          <w:sz w:val="32"/>
          <w:szCs w:val="32"/>
        </w:rPr>
        <w:t>1）</w:t>
      </w:r>
      <w:r>
        <w:rPr>
          <w:rFonts w:hint="eastAsia" w:cstheme="minorEastAsia"/>
          <w:sz w:val="32"/>
          <w:szCs w:val="32"/>
        </w:rPr>
        <w:t>对参赛作品进行打分，根据得分排名分别选出各组</w:t>
      </w:r>
      <w:r>
        <w:rPr>
          <w:rFonts w:cstheme="minorEastAsia"/>
          <w:sz w:val="32"/>
          <w:szCs w:val="32"/>
        </w:rPr>
        <w:t>24个作品进入朗诵大赛决赛。</w:t>
      </w:r>
    </w:p>
    <w:p w14:paraId="0049706B">
      <w:pPr>
        <w:pStyle w:val="18"/>
        <w:numPr>
          <w:ilvl w:val="0"/>
          <w:numId w:val="1"/>
        </w:numPr>
        <w:tabs>
          <w:tab w:val="left" w:pos="1203"/>
        </w:tabs>
        <w:autoSpaceDE w:val="0"/>
        <w:autoSpaceDN w:val="0"/>
        <w:spacing w:before="0" w:line="560" w:lineRule="exact"/>
        <w:ind w:right="257" w:firstLine="612" w:firstLineChars="200"/>
        <w:rPr>
          <w:rFonts w:cstheme="minorEastAsia"/>
          <w:sz w:val="32"/>
          <w:szCs w:val="32"/>
        </w:rPr>
      </w:pPr>
      <w:r>
        <w:rPr>
          <w:rFonts w:hint="eastAsia" w:cstheme="minorEastAsia"/>
          <w:spacing w:val="-7"/>
          <w:sz w:val="32"/>
          <w:szCs w:val="32"/>
        </w:rPr>
        <w:t>决赛：专家根据《决赛评分标准</w:t>
      </w:r>
      <w:r>
        <w:rPr>
          <w:rFonts w:hint="eastAsia" w:cstheme="minorEastAsia"/>
          <w:spacing w:val="-180"/>
          <w:sz w:val="32"/>
          <w:szCs w:val="32"/>
        </w:rPr>
        <w:t>》</w:t>
      </w:r>
      <w:r>
        <w:rPr>
          <w:rFonts w:hint="eastAsia" w:cstheme="minorEastAsia"/>
          <w:spacing w:val="-7"/>
          <w:sz w:val="32"/>
          <w:szCs w:val="32"/>
        </w:rPr>
        <w:t>（见表</w:t>
      </w:r>
      <w:r>
        <w:rPr>
          <w:rFonts w:cstheme="minorEastAsia"/>
          <w:spacing w:val="-7"/>
          <w:sz w:val="32"/>
          <w:szCs w:val="32"/>
        </w:rPr>
        <w:t>2）评审现场评分，决出各组最终名次。评分标准如下。</w:t>
      </w:r>
    </w:p>
    <w:p w14:paraId="1C6A605C">
      <w:pPr>
        <w:autoSpaceDE w:val="0"/>
        <w:autoSpaceDN w:val="0"/>
        <w:spacing w:line="560" w:lineRule="exact"/>
        <w:ind w:firstLine="615" w:firstLineChars="200"/>
        <w:rPr>
          <w:rFonts w:ascii="仿宋" w:hAnsi="仿宋" w:eastAsia="仿宋" w:cstheme="minorEastAsia"/>
          <w:b/>
          <w:bCs/>
          <w:spacing w:val="-7"/>
          <w:sz w:val="32"/>
          <w:szCs w:val="32"/>
          <w:lang w:bidi="zh-CN"/>
        </w:rPr>
      </w:pPr>
      <w:r>
        <w:rPr>
          <w:rFonts w:hint="eastAsia" w:ascii="仿宋" w:hAnsi="仿宋" w:eastAsia="仿宋" w:cstheme="minorEastAsia"/>
          <w:b/>
          <w:bCs/>
          <w:spacing w:val="-7"/>
          <w:sz w:val="32"/>
          <w:szCs w:val="32"/>
          <w:lang w:bidi="zh-CN"/>
        </w:rPr>
        <w:t>表</w:t>
      </w:r>
      <w:r>
        <w:rPr>
          <w:rFonts w:ascii="仿宋" w:hAnsi="仿宋" w:eastAsia="仿宋" w:cstheme="minorEastAsia"/>
          <w:b/>
          <w:bCs/>
          <w:spacing w:val="-7"/>
          <w:sz w:val="32"/>
          <w:szCs w:val="32"/>
          <w:lang w:bidi="zh-CN"/>
        </w:rPr>
        <w:t>1：复赛评分标准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434"/>
        <w:gridCol w:w="5665"/>
      </w:tblGrid>
      <w:tr w14:paraId="44B7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54" w:type="dxa"/>
            <w:vAlign w:val="center"/>
          </w:tcPr>
          <w:p w14:paraId="37FF78B3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32"/>
                <w:szCs w:val="32"/>
              </w:rPr>
              <w:t>评分项</w:t>
            </w:r>
          </w:p>
        </w:tc>
        <w:tc>
          <w:tcPr>
            <w:tcW w:w="1544" w:type="dxa"/>
            <w:vAlign w:val="center"/>
          </w:tcPr>
          <w:p w14:paraId="5EC633A2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32"/>
                <w:szCs w:val="32"/>
              </w:rPr>
              <w:t>分值</w:t>
            </w:r>
          </w:p>
        </w:tc>
        <w:tc>
          <w:tcPr>
            <w:tcW w:w="6216" w:type="dxa"/>
            <w:vAlign w:val="center"/>
          </w:tcPr>
          <w:p w14:paraId="74B7A810">
            <w:pPr>
              <w:pStyle w:val="4"/>
              <w:autoSpaceDE w:val="0"/>
              <w:autoSpaceDN w:val="0"/>
              <w:spacing w:line="400" w:lineRule="exact"/>
              <w:ind w:firstLine="643" w:firstLineChars="200"/>
              <w:jc w:val="center"/>
              <w:rPr>
                <w:rFonts w:ascii="仿宋" w:hAnsi="仿宋" w:eastAsia="仿宋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b/>
                <w:kern w:val="0"/>
                <w:sz w:val="32"/>
                <w:szCs w:val="32"/>
              </w:rPr>
              <w:t>评分标准</w:t>
            </w:r>
          </w:p>
        </w:tc>
      </w:tr>
      <w:tr w14:paraId="2321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54" w:type="dxa"/>
            <w:vAlign w:val="center"/>
          </w:tcPr>
          <w:p w14:paraId="4A43F560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普通话</w:t>
            </w:r>
          </w:p>
        </w:tc>
        <w:tc>
          <w:tcPr>
            <w:tcW w:w="1544" w:type="dxa"/>
            <w:vAlign w:val="center"/>
          </w:tcPr>
          <w:p w14:paraId="2C293AF1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theme="minorEastAsia"/>
                <w:kern w:val="0"/>
                <w:sz w:val="32"/>
                <w:szCs w:val="32"/>
              </w:rPr>
              <w:t>20分</w:t>
            </w:r>
          </w:p>
        </w:tc>
        <w:tc>
          <w:tcPr>
            <w:tcW w:w="6216" w:type="dxa"/>
            <w:vAlign w:val="center"/>
          </w:tcPr>
          <w:p w14:paraId="44C70BF0">
            <w:pPr>
              <w:pStyle w:val="4"/>
              <w:autoSpaceDE w:val="0"/>
              <w:autoSpaceDN w:val="0"/>
              <w:spacing w:line="40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发音准确，口齿清晰，语言规范。</w:t>
            </w:r>
          </w:p>
        </w:tc>
      </w:tr>
      <w:tr w14:paraId="1811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754" w:type="dxa"/>
            <w:vAlign w:val="center"/>
          </w:tcPr>
          <w:p w14:paraId="62FFD0AC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朗诵内容</w:t>
            </w:r>
          </w:p>
        </w:tc>
        <w:tc>
          <w:tcPr>
            <w:tcW w:w="1544" w:type="dxa"/>
            <w:vAlign w:val="center"/>
          </w:tcPr>
          <w:p w14:paraId="0AF53173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theme="minorEastAsia"/>
                <w:kern w:val="0"/>
                <w:sz w:val="32"/>
                <w:szCs w:val="32"/>
              </w:rPr>
              <w:t>20分</w:t>
            </w:r>
          </w:p>
        </w:tc>
        <w:tc>
          <w:tcPr>
            <w:tcW w:w="6216" w:type="dxa"/>
            <w:vAlign w:val="center"/>
          </w:tcPr>
          <w:p w14:paraId="7B76CFE2">
            <w:pPr>
              <w:pStyle w:val="4"/>
              <w:autoSpaceDE w:val="0"/>
              <w:autoSpaceDN w:val="0"/>
              <w:spacing w:line="40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贴合主题，内容健康向上、思想性强，寓意深刻，富有感召力，审美艺术性强。</w:t>
            </w:r>
          </w:p>
        </w:tc>
      </w:tr>
      <w:tr w14:paraId="7A50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754" w:type="dxa"/>
            <w:vAlign w:val="center"/>
          </w:tcPr>
          <w:p w14:paraId="0499B844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技巧</w:t>
            </w:r>
          </w:p>
        </w:tc>
        <w:tc>
          <w:tcPr>
            <w:tcW w:w="1544" w:type="dxa"/>
            <w:vAlign w:val="center"/>
          </w:tcPr>
          <w:p w14:paraId="183EC5FF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theme="minorEastAsia"/>
                <w:kern w:val="0"/>
                <w:sz w:val="32"/>
                <w:szCs w:val="32"/>
              </w:rPr>
              <w:t>30分</w:t>
            </w:r>
          </w:p>
        </w:tc>
        <w:tc>
          <w:tcPr>
            <w:tcW w:w="6216" w:type="dxa"/>
          </w:tcPr>
          <w:p w14:paraId="3B3E9171">
            <w:pPr>
              <w:pStyle w:val="4"/>
              <w:autoSpaceDE w:val="0"/>
              <w:autoSpaceDN w:val="0"/>
              <w:spacing w:line="40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声音洪亮，音色优美；</w:t>
            </w:r>
          </w:p>
          <w:p w14:paraId="6A5E72AA">
            <w:pPr>
              <w:pStyle w:val="4"/>
              <w:autoSpaceDE w:val="0"/>
              <w:autoSpaceDN w:val="0"/>
              <w:spacing w:line="40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语气、语调、重音、节奏富于变化，切合朗诵的内容；</w:t>
            </w:r>
          </w:p>
          <w:p w14:paraId="4461E310">
            <w:pPr>
              <w:pStyle w:val="4"/>
              <w:autoSpaceDE w:val="0"/>
              <w:autoSpaceDN w:val="0"/>
              <w:spacing w:line="40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语言流畅，不增减字（为强调感情的重复不算失误）。</w:t>
            </w:r>
          </w:p>
        </w:tc>
      </w:tr>
      <w:tr w14:paraId="0014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54" w:type="dxa"/>
            <w:vAlign w:val="center"/>
          </w:tcPr>
          <w:p w14:paraId="033A3057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作品表达</w:t>
            </w:r>
          </w:p>
        </w:tc>
        <w:tc>
          <w:tcPr>
            <w:tcW w:w="1544" w:type="dxa"/>
            <w:vAlign w:val="center"/>
          </w:tcPr>
          <w:p w14:paraId="6A5D1D0B">
            <w:pPr>
              <w:pStyle w:val="4"/>
              <w:autoSpaceDE w:val="0"/>
              <w:autoSpaceDN w:val="0"/>
              <w:spacing w:line="400" w:lineRule="exact"/>
              <w:jc w:val="center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theme="minorEastAsia"/>
                <w:kern w:val="0"/>
                <w:sz w:val="32"/>
                <w:szCs w:val="32"/>
              </w:rPr>
              <w:t>30分</w:t>
            </w:r>
          </w:p>
        </w:tc>
        <w:tc>
          <w:tcPr>
            <w:tcW w:w="6216" w:type="dxa"/>
            <w:vAlign w:val="center"/>
          </w:tcPr>
          <w:p w14:paraId="11302BFB">
            <w:pPr>
              <w:pStyle w:val="4"/>
              <w:autoSpaceDE w:val="0"/>
              <w:autoSpaceDN w:val="0"/>
              <w:spacing w:line="400" w:lineRule="exact"/>
              <w:jc w:val="left"/>
              <w:rPr>
                <w:rFonts w:ascii="仿宋" w:hAnsi="仿宋" w:eastAsia="仿宋" w:cstheme="minorEastAsi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32"/>
                <w:szCs w:val="32"/>
              </w:rPr>
              <w:t>正确把握作品的内涵、节奏、韵律，能让听众产生共鸣，正确表达作品的主题，富有感染力。</w:t>
            </w:r>
          </w:p>
        </w:tc>
      </w:tr>
    </w:tbl>
    <w:p w14:paraId="1B2DF1EB">
      <w:pPr>
        <w:pStyle w:val="4"/>
        <w:autoSpaceDE w:val="0"/>
        <w:autoSpaceDN w:val="0"/>
        <w:spacing w:before="156" w:beforeLines="50" w:line="560" w:lineRule="exact"/>
        <w:ind w:firstLine="640" w:firstLineChars="200"/>
        <w:rPr>
          <w:rFonts w:ascii="仿宋" w:hAnsi="仿宋" w:eastAsia="仿宋" w:cstheme="minorEastAsia"/>
          <w:w w:val="99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备注：朗诵内容时长控制在</w:t>
      </w:r>
      <w:r>
        <w:rPr>
          <w:rFonts w:ascii="仿宋" w:hAnsi="仿宋" w:eastAsia="仿宋" w:cstheme="minorEastAsia"/>
          <w:sz w:val="32"/>
          <w:szCs w:val="32"/>
        </w:rPr>
        <w:t>3～5分钟之内（不含自我</w:t>
      </w:r>
      <w:r>
        <w:rPr>
          <w:rFonts w:hint="eastAsia" w:ascii="仿宋" w:hAnsi="仿宋" w:eastAsia="仿宋" w:cstheme="minorEastAsia"/>
          <w:w w:val="99"/>
          <w:sz w:val="32"/>
          <w:szCs w:val="32"/>
        </w:rPr>
        <w:t>介绍时间）。</w:t>
      </w:r>
    </w:p>
    <w:p w14:paraId="4CA68350">
      <w:pPr>
        <w:autoSpaceDE w:val="0"/>
        <w:autoSpaceDN w:val="0"/>
        <w:spacing w:line="560" w:lineRule="exact"/>
        <w:rPr>
          <w:rFonts w:ascii="仿宋" w:hAnsi="仿宋" w:eastAsia="仿宋" w:cstheme="minorEastAsia"/>
          <w:b/>
          <w:bCs/>
          <w:spacing w:val="-7"/>
          <w:sz w:val="32"/>
          <w:szCs w:val="32"/>
          <w:lang w:bidi="zh-CN"/>
        </w:rPr>
      </w:pPr>
    </w:p>
    <w:p w14:paraId="2B086B5B">
      <w:pPr>
        <w:autoSpaceDE w:val="0"/>
        <w:autoSpaceDN w:val="0"/>
        <w:spacing w:line="560" w:lineRule="exact"/>
        <w:ind w:firstLine="615" w:firstLineChars="200"/>
        <w:rPr>
          <w:rFonts w:ascii="仿宋" w:hAnsi="仿宋" w:eastAsia="仿宋" w:cstheme="minorEastAsia"/>
          <w:b/>
          <w:bCs/>
          <w:spacing w:val="-7"/>
          <w:sz w:val="32"/>
          <w:szCs w:val="32"/>
          <w:lang w:bidi="zh-CN"/>
        </w:rPr>
      </w:pPr>
      <w:r>
        <w:rPr>
          <w:rFonts w:hint="eastAsia" w:ascii="仿宋" w:hAnsi="仿宋" w:eastAsia="仿宋" w:cstheme="minorEastAsia"/>
          <w:b/>
          <w:bCs/>
          <w:spacing w:val="-7"/>
          <w:sz w:val="32"/>
          <w:szCs w:val="32"/>
          <w:lang w:bidi="zh-CN"/>
        </w:rPr>
        <w:t>表</w:t>
      </w:r>
      <w:r>
        <w:rPr>
          <w:rFonts w:ascii="仿宋" w:hAnsi="仿宋" w:eastAsia="仿宋" w:cstheme="minorEastAsia"/>
          <w:b/>
          <w:bCs/>
          <w:spacing w:val="-7"/>
          <w:sz w:val="32"/>
          <w:szCs w:val="32"/>
          <w:lang w:bidi="zh-CN"/>
        </w:rPr>
        <w:t>2：决赛评分标准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061"/>
        <w:gridCol w:w="6121"/>
      </w:tblGrid>
      <w:tr w14:paraId="1D74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60" w:type="dxa"/>
            <w:vAlign w:val="center"/>
          </w:tcPr>
          <w:p w14:paraId="7D0B4CFC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kern w:val="0"/>
              </w:rPr>
            </w:pPr>
            <w:r>
              <w:rPr>
                <w:rFonts w:hint="eastAsia" w:cstheme="minorEastAsia"/>
                <w:kern w:val="0"/>
              </w:rPr>
              <w:t>评分项</w:t>
            </w:r>
          </w:p>
        </w:tc>
        <w:tc>
          <w:tcPr>
            <w:tcW w:w="1124" w:type="dxa"/>
            <w:vAlign w:val="center"/>
          </w:tcPr>
          <w:p w14:paraId="359551F7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kern w:val="0"/>
              </w:rPr>
            </w:pPr>
            <w:r>
              <w:rPr>
                <w:rFonts w:hint="eastAsia" w:cstheme="minorEastAsia"/>
                <w:kern w:val="0"/>
              </w:rPr>
              <w:t>分值</w:t>
            </w:r>
          </w:p>
        </w:tc>
        <w:tc>
          <w:tcPr>
            <w:tcW w:w="6720" w:type="dxa"/>
            <w:vAlign w:val="center"/>
          </w:tcPr>
          <w:p w14:paraId="3C76324B">
            <w:pPr>
              <w:pStyle w:val="3"/>
              <w:autoSpaceDE w:val="0"/>
              <w:autoSpaceDN w:val="0"/>
              <w:spacing w:line="560" w:lineRule="exact"/>
              <w:ind w:left="0" w:firstLine="643" w:firstLineChars="200"/>
              <w:jc w:val="center"/>
              <w:outlineLvl w:val="1"/>
              <w:rPr>
                <w:rFonts w:cstheme="minorEastAsia"/>
                <w:kern w:val="0"/>
              </w:rPr>
            </w:pPr>
            <w:r>
              <w:rPr>
                <w:rFonts w:hint="eastAsia" w:cstheme="minorEastAsia"/>
                <w:kern w:val="0"/>
              </w:rPr>
              <w:t>评分标准</w:t>
            </w:r>
          </w:p>
        </w:tc>
      </w:tr>
      <w:tr w14:paraId="5571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660" w:type="dxa"/>
            <w:vAlign w:val="center"/>
          </w:tcPr>
          <w:p w14:paraId="0F92DEEF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朗诵内容</w:t>
            </w:r>
          </w:p>
        </w:tc>
        <w:tc>
          <w:tcPr>
            <w:tcW w:w="1124" w:type="dxa"/>
            <w:vAlign w:val="center"/>
          </w:tcPr>
          <w:p w14:paraId="107F3EC2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cstheme="minorEastAsia"/>
                <w:b w:val="0"/>
                <w:bCs w:val="0"/>
                <w:kern w:val="0"/>
              </w:rPr>
              <w:t>10分</w:t>
            </w:r>
          </w:p>
        </w:tc>
        <w:tc>
          <w:tcPr>
            <w:tcW w:w="6720" w:type="dxa"/>
            <w:vAlign w:val="center"/>
          </w:tcPr>
          <w:p w14:paraId="7C975A56">
            <w:pPr>
              <w:pStyle w:val="3"/>
              <w:autoSpaceDE w:val="0"/>
              <w:autoSpaceDN w:val="0"/>
              <w:spacing w:line="560" w:lineRule="exact"/>
              <w:ind w:left="0"/>
              <w:outlineLvl w:val="1"/>
              <w:rPr>
                <w:rFonts w:cstheme="minorEastAsia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贴合主题，内容健康向上，思想性强，寓意深刻，富有感召力，审美艺术性强。</w:t>
            </w:r>
          </w:p>
        </w:tc>
      </w:tr>
      <w:tr w14:paraId="385D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660" w:type="dxa"/>
            <w:vAlign w:val="center"/>
          </w:tcPr>
          <w:p w14:paraId="7F8DBE9B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仪表形象</w:t>
            </w:r>
          </w:p>
        </w:tc>
        <w:tc>
          <w:tcPr>
            <w:tcW w:w="1124" w:type="dxa"/>
            <w:vAlign w:val="center"/>
          </w:tcPr>
          <w:p w14:paraId="7BD63E09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cstheme="minorEastAsia"/>
                <w:b w:val="0"/>
                <w:bCs w:val="0"/>
                <w:kern w:val="0"/>
              </w:rPr>
              <w:t>10分</w:t>
            </w:r>
          </w:p>
        </w:tc>
        <w:tc>
          <w:tcPr>
            <w:tcW w:w="6720" w:type="dxa"/>
            <w:vAlign w:val="center"/>
          </w:tcPr>
          <w:p w14:paraId="6516D7AD">
            <w:pPr>
              <w:pStyle w:val="3"/>
              <w:autoSpaceDE w:val="0"/>
              <w:autoSpaceDN w:val="0"/>
              <w:spacing w:line="560" w:lineRule="exact"/>
              <w:ind w:left="0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衣着得体，与作品内容相协调。举止端庄大方、精神饱满。</w:t>
            </w:r>
          </w:p>
        </w:tc>
      </w:tr>
      <w:tr w14:paraId="79F9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660" w:type="dxa"/>
            <w:vAlign w:val="center"/>
          </w:tcPr>
          <w:p w14:paraId="6375331E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朗诵技巧</w:t>
            </w:r>
          </w:p>
        </w:tc>
        <w:tc>
          <w:tcPr>
            <w:tcW w:w="1124" w:type="dxa"/>
            <w:vAlign w:val="center"/>
          </w:tcPr>
          <w:p w14:paraId="2236F5C5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cstheme="minorEastAsia"/>
                <w:b w:val="0"/>
                <w:bCs w:val="0"/>
                <w:kern w:val="0"/>
              </w:rPr>
              <w:t>20分</w:t>
            </w:r>
          </w:p>
        </w:tc>
        <w:tc>
          <w:tcPr>
            <w:tcW w:w="6720" w:type="dxa"/>
            <w:vAlign w:val="center"/>
          </w:tcPr>
          <w:p w14:paraId="317F4150">
            <w:pPr>
              <w:pStyle w:val="3"/>
              <w:autoSpaceDE w:val="0"/>
              <w:autoSpaceDN w:val="0"/>
              <w:spacing w:line="560" w:lineRule="exact"/>
              <w:ind w:left="0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现场朗诵</w:t>
            </w:r>
            <w:r>
              <w:rPr>
                <w:rFonts w:hint="eastAsia" w:cstheme="minorEastAsia"/>
                <w:kern w:val="0"/>
              </w:rPr>
              <w:t>要求脱稿</w:t>
            </w:r>
            <w:r>
              <w:rPr>
                <w:rFonts w:hint="eastAsia" w:cstheme="minorEastAsia"/>
                <w:b w:val="0"/>
                <w:bCs w:val="0"/>
                <w:kern w:val="0"/>
              </w:rPr>
              <w:t>，如不脱稿，酌情扣分。普通话标准，发音吐字清楚、准确，声音洪亮，音色优美，语言流畅，不增减字（为强调感情的重复不算失误）。</w:t>
            </w:r>
          </w:p>
        </w:tc>
      </w:tr>
      <w:tr w14:paraId="288D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660" w:type="dxa"/>
            <w:vAlign w:val="center"/>
          </w:tcPr>
          <w:p w14:paraId="6E765DE7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作品表达</w:t>
            </w:r>
          </w:p>
        </w:tc>
        <w:tc>
          <w:tcPr>
            <w:tcW w:w="1124" w:type="dxa"/>
            <w:vAlign w:val="center"/>
          </w:tcPr>
          <w:p w14:paraId="4DFD59A2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cstheme="minorEastAsia"/>
                <w:b w:val="0"/>
                <w:bCs w:val="0"/>
                <w:kern w:val="0"/>
              </w:rPr>
              <w:t>30分</w:t>
            </w:r>
          </w:p>
        </w:tc>
        <w:tc>
          <w:tcPr>
            <w:tcW w:w="6720" w:type="dxa"/>
            <w:vAlign w:val="center"/>
          </w:tcPr>
          <w:p w14:paraId="0B64794A">
            <w:pPr>
              <w:pStyle w:val="3"/>
              <w:autoSpaceDE w:val="0"/>
              <w:autoSpaceDN w:val="0"/>
              <w:spacing w:line="560" w:lineRule="exact"/>
              <w:ind w:left="0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语气、语调、重音、节奏富于变化，切合朗诵的内容，正确把握作品的内涵节奏、韵律，能让观众产生共鸣，正确表达作品的主题，富有感染力。</w:t>
            </w:r>
          </w:p>
        </w:tc>
      </w:tr>
      <w:tr w14:paraId="3245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660" w:type="dxa"/>
            <w:vAlign w:val="center"/>
          </w:tcPr>
          <w:p w14:paraId="63DB7C99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舞台表现</w:t>
            </w:r>
          </w:p>
        </w:tc>
        <w:tc>
          <w:tcPr>
            <w:tcW w:w="1124" w:type="dxa"/>
            <w:vAlign w:val="center"/>
          </w:tcPr>
          <w:p w14:paraId="7647D9C9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cstheme="minorEastAsia"/>
                <w:b w:val="0"/>
                <w:bCs w:val="0"/>
                <w:kern w:val="0"/>
              </w:rPr>
              <w:t>15分</w:t>
            </w:r>
          </w:p>
        </w:tc>
        <w:tc>
          <w:tcPr>
            <w:tcW w:w="6720" w:type="dxa"/>
            <w:vAlign w:val="center"/>
          </w:tcPr>
          <w:p w14:paraId="3D7AFCEA">
            <w:pPr>
              <w:pStyle w:val="3"/>
              <w:autoSpaceDE w:val="0"/>
              <w:autoSpaceDN w:val="0"/>
              <w:spacing w:line="560" w:lineRule="exact"/>
              <w:ind w:left="0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肢体语言、表情传神达意，动作自然优美。多人朗诵的，团队成员之间默契配合。</w:t>
            </w:r>
          </w:p>
        </w:tc>
      </w:tr>
      <w:tr w14:paraId="603F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60" w:type="dxa"/>
            <w:vAlign w:val="center"/>
          </w:tcPr>
          <w:p w14:paraId="2D1E3DD1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氛围效果</w:t>
            </w:r>
          </w:p>
        </w:tc>
        <w:tc>
          <w:tcPr>
            <w:tcW w:w="1124" w:type="dxa"/>
            <w:vAlign w:val="center"/>
          </w:tcPr>
          <w:p w14:paraId="7C364A1F">
            <w:pPr>
              <w:pStyle w:val="3"/>
              <w:autoSpaceDE w:val="0"/>
              <w:autoSpaceDN w:val="0"/>
              <w:spacing w:line="560" w:lineRule="exact"/>
              <w:ind w:left="0"/>
              <w:jc w:val="center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cstheme="minorEastAsia"/>
                <w:b w:val="0"/>
                <w:bCs w:val="0"/>
                <w:kern w:val="0"/>
              </w:rPr>
              <w:t>15分</w:t>
            </w:r>
          </w:p>
        </w:tc>
        <w:tc>
          <w:tcPr>
            <w:tcW w:w="6720" w:type="dxa"/>
            <w:vAlign w:val="center"/>
          </w:tcPr>
          <w:p w14:paraId="49C6873D">
            <w:pPr>
              <w:pStyle w:val="3"/>
              <w:autoSpaceDE w:val="0"/>
              <w:autoSpaceDN w:val="0"/>
              <w:spacing w:line="560" w:lineRule="exact"/>
              <w:ind w:left="0"/>
              <w:outlineLvl w:val="1"/>
              <w:rPr>
                <w:rFonts w:cstheme="minorEastAsia"/>
                <w:b w:val="0"/>
                <w:bCs w:val="0"/>
                <w:kern w:val="0"/>
              </w:rPr>
            </w:pPr>
            <w:r>
              <w:rPr>
                <w:rFonts w:hint="eastAsia" w:cstheme="minorEastAsia"/>
                <w:b w:val="0"/>
                <w:bCs w:val="0"/>
                <w:kern w:val="0"/>
              </w:rPr>
              <w:t>朗诵形式富有创意，辅以音乐、视频等展现诵读内容。</w:t>
            </w:r>
          </w:p>
        </w:tc>
      </w:tr>
    </w:tbl>
    <w:p w14:paraId="6EAD86A2">
      <w:pPr>
        <w:pStyle w:val="4"/>
        <w:autoSpaceDE w:val="0"/>
        <w:autoSpaceDN w:val="0"/>
        <w:spacing w:line="560" w:lineRule="exact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备注：朗诵内容时长控制在</w:t>
      </w:r>
      <w:r>
        <w:rPr>
          <w:rFonts w:ascii="仿宋" w:hAnsi="仿宋" w:eastAsia="仿宋" w:cstheme="minorEastAsia"/>
          <w:sz w:val="32"/>
          <w:szCs w:val="32"/>
        </w:rPr>
        <w:t>3～5分钟之内，现场超时或不足，或现场未脱稿，均属于扣分项，扣分标准以现场评委商定结果为准。</w:t>
      </w:r>
    </w:p>
    <w:p w14:paraId="1212E852">
      <w:pPr>
        <w:pStyle w:val="16"/>
        <w:widowControl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643" w:firstLineChars="200"/>
        <w:rPr>
          <w:rFonts w:hint="default" w:ascii="仿宋" w:hAnsi="仿宋" w:eastAsia="仿宋" w:cstheme="minorEastAsia"/>
          <w:b/>
          <w:bCs/>
          <w:color w:val="05073B"/>
          <w:sz w:val="32"/>
          <w:szCs w:val="32"/>
          <w:shd w:val="clear" w:color="auto" w:fill="FDFDFE"/>
          <w:lang w:bidi="ar"/>
        </w:rPr>
      </w:pPr>
    </w:p>
    <w:p w14:paraId="0C73633F">
      <w:pPr>
        <w:rPr>
          <w:rFonts w:hint="eastAsia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4874409"/>
      <w:docPartObj>
        <w:docPartGallery w:val="AutoText"/>
      </w:docPartObj>
    </w:sdtPr>
    <w:sdtContent>
      <w:p w14:paraId="60221C4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A44C9B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DA440"/>
    <w:multiLevelType w:val="singleLevel"/>
    <w:tmpl w:val="8A3DA44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C0"/>
    <w:rsid w:val="00897D63"/>
    <w:rsid w:val="00B20FC0"/>
    <w:rsid w:val="00BA5AD9"/>
    <w:rsid w:val="0136732D"/>
    <w:rsid w:val="07E37AE3"/>
    <w:rsid w:val="0DBB463A"/>
    <w:rsid w:val="0FC14BAE"/>
    <w:rsid w:val="16726C02"/>
    <w:rsid w:val="17563E2E"/>
    <w:rsid w:val="19632C48"/>
    <w:rsid w:val="2F320885"/>
    <w:rsid w:val="2FAA0D63"/>
    <w:rsid w:val="32C91500"/>
    <w:rsid w:val="33A01F8D"/>
    <w:rsid w:val="33D53ED4"/>
    <w:rsid w:val="35613C72"/>
    <w:rsid w:val="43A044FF"/>
    <w:rsid w:val="4A8C1339"/>
    <w:rsid w:val="4AD445E0"/>
    <w:rsid w:val="64306D81"/>
    <w:rsid w:val="668F4233"/>
    <w:rsid w:val="76880357"/>
    <w:rsid w:val="788159C2"/>
    <w:rsid w:val="7C8B294F"/>
    <w:rsid w:val="7F5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6"/>
      <w:ind w:left="844" w:right="854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paragraph" w:styleId="3">
    <w:name w:val="heading 2"/>
    <w:basedOn w:val="1"/>
    <w:next w:val="1"/>
    <w:link w:val="14"/>
    <w:qFormat/>
    <w:uiPriority w:val="1"/>
    <w:pPr>
      <w:ind w:left="760"/>
      <w:outlineLvl w:val="1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5"/>
    <w:unhideWhenUsed/>
    <w:qFormat/>
    <w:uiPriority w:val="0"/>
    <w:pPr>
      <w:spacing w:after="12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uiPriority w:val="1"/>
    <w:rPr>
      <w:rFonts w:ascii="宋体" w:hAnsi="宋体" w:eastAsia="宋体" w:cs="宋体"/>
      <w:b/>
      <w:bCs/>
      <w:sz w:val="44"/>
      <w:szCs w:val="44"/>
      <w:lang w:val="zh-CN" w:bidi="zh-CN"/>
    </w:rPr>
  </w:style>
  <w:style w:type="character" w:customStyle="1" w:styleId="14">
    <w:name w:val="标题 2 字符"/>
    <w:basedOn w:val="10"/>
    <w:link w:val="3"/>
    <w:qFormat/>
    <w:uiPriority w:val="1"/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customStyle="1" w:styleId="15">
    <w:name w:val="正文文本 字符"/>
    <w:basedOn w:val="10"/>
    <w:link w:val="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7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8">
    <w:name w:val="List Paragraph"/>
    <w:basedOn w:val="1"/>
    <w:qFormat/>
    <w:uiPriority w:val="0"/>
    <w:pPr>
      <w:spacing w:before="190"/>
      <w:ind w:left="120" w:firstLine="640"/>
    </w:pPr>
    <w:rPr>
      <w:rFonts w:ascii="仿宋" w:hAnsi="仿宋" w:eastAsia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3402</Words>
  <Characters>3601</Characters>
  <Lines>27</Lines>
  <Paragraphs>7</Paragraphs>
  <TotalTime>12</TotalTime>
  <ScaleCrop>false</ScaleCrop>
  <LinksUpToDate>false</LinksUpToDate>
  <CharactersWithSpaces>3664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2025-09-11T02:20:00Z</dcterms:created>
  <dc:creator>图书馆</dc:creator>
  <cp:lastModifiedBy>WPS_1720682222</cp:lastModifiedBy>
  <dcterms:modified xsi:type="dcterms:W3CDTF">2025-09-19T12:24:05Z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eyJoZGlkIjoiNzljY2Q5MGUzOGNhMjAzZmMwMzEyNDgwNDgwNjNkZTIiLCJ1c2VySWQiOiIxNjE0NzgyNDQ1In0=</vt:lpwstr>
  </property>
  <property fmtid="{D5CDD505-2E9C-101B-9397-08002B2CF9AE}" pid="3" name="KSOProductBuildVer">
    <vt:lpwstr>2052-12.1.0.22529</vt:lpwstr>
  </property>
  <property fmtid="{D5CDD505-2E9C-101B-9397-08002B2CF9AE}" pid="4" name="ICV">
    <vt:lpwstr>48F773CD2661423EBAF348A080959E4B_13</vt:lpwstr>
  </property>
</Properties>
</file>